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hint="eastAsia" w:ascii="黑体" w:hAnsi="黑体" w:eastAsia="黑体" w:cs="黑体"/>
          <w:color w:val="000000"/>
          <w:sz w:val="44"/>
          <w:szCs w:val="44"/>
        </w:rPr>
      </w:pPr>
      <w:r>
        <w:rPr>
          <w:rFonts w:hint="eastAsia" w:ascii="黑体" w:hAnsi="黑体" w:eastAsia="黑体" w:cs="黑体"/>
          <w:color w:val="000000"/>
          <w:sz w:val="44"/>
          <w:szCs w:val="44"/>
        </w:rPr>
        <w:t>乌县（</w:t>
      </w:r>
      <w:r>
        <w:rPr>
          <w:rFonts w:hint="eastAsia" w:ascii="黑体" w:hAnsi="黑体" w:eastAsia="黑体" w:cs="黑体"/>
          <w:color w:val="000000"/>
          <w:sz w:val="44"/>
          <w:szCs w:val="44"/>
          <w:lang w:eastAsia="zh-CN"/>
        </w:rPr>
        <w:t>萨尔达坂卫生院</w:t>
      </w:r>
      <w:r>
        <w:rPr>
          <w:rFonts w:hint="eastAsia" w:ascii="黑体" w:hAnsi="黑体" w:eastAsia="黑体" w:cs="黑体"/>
          <w:color w:val="000000"/>
          <w:sz w:val="44"/>
          <w:szCs w:val="44"/>
        </w:rPr>
        <w:t>）201</w:t>
      </w:r>
      <w:r>
        <w:rPr>
          <w:rFonts w:hint="eastAsia" w:ascii="黑体" w:hAnsi="黑体" w:eastAsia="黑体" w:cs="黑体"/>
          <w:color w:val="000000"/>
          <w:sz w:val="44"/>
          <w:szCs w:val="44"/>
          <w:lang w:val="en-US" w:eastAsia="zh-CN"/>
        </w:rPr>
        <w:t>5</w:t>
      </w:r>
      <w:r>
        <w:rPr>
          <w:rFonts w:hint="eastAsia" w:ascii="黑体" w:hAnsi="黑体" w:eastAsia="黑体" w:cs="黑体"/>
          <w:color w:val="000000"/>
          <w:sz w:val="44"/>
          <w:szCs w:val="44"/>
        </w:rPr>
        <w:t>年度部门决算情况说明</w:t>
      </w:r>
    </w:p>
    <w:p>
      <w:pPr>
        <w:tabs>
          <w:tab w:val="left" w:pos="9923"/>
        </w:tabs>
        <w:snapToGrid w:val="0"/>
        <w:jc w:val="center"/>
        <w:rPr>
          <w:rFonts w:hint="eastAsia" w:eastAsia="黑体" w:cs="Times New Roman"/>
          <w:bCs/>
          <w:sz w:val="30"/>
          <w:szCs w:val="32"/>
        </w:rPr>
      </w:pPr>
      <w:r>
        <w:rPr>
          <w:rFonts w:hint="eastAsia" w:eastAsia="黑体" w:cs="Times New Roman"/>
          <w:bCs/>
          <w:sz w:val="30"/>
          <w:szCs w:val="32"/>
        </w:rPr>
        <w:t xml:space="preserve">    </w:t>
      </w:r>
    </w:p>
    <w:p>
      <w:pPr>
        <w:snapToGrid w:val="0"/>
        <w:rPr>
          <w:rFonts w:hint="eastAsia" w:eastAsia="黑体" w:cs="Times New Roman"/>
          <w:bCs/>
          <w:sz w:val="30"/>
          <w:szCs w:val="32"/>
        </w:rPr>
      </w:pPr>
    </w:p>
    <w:p>
      <w:pPr>
        <w:numPr>
          <w:ilvl w:val="0"/>
          <w:numId w:val="1"/>
        </w:numPr>
        <w:snapToGrid w:val="0"/>
        <w:spacing w:line="360" w:lineRule="auto"/>
        <w:ind w:left="750" w:leftChars="0" w:firstLine="0" w:firstLineChars="0"/>
        <w:rPr>
          <w:rFonts w:hint="eastAsia" w:eastAsia="黑体" w:cs="Times New Roman"/>
          <w:bCs/>
          <w:sz w:val="30"/>
          <w:szCs w:val="32"/>
        </w:rPr>
      </w:pPr>
      <w:r>
        <w:rPr>
          <w:rFonts w:hint="eastAsia" w:eastAsia="黑体" w:cs="Times New Roman"/>
          <w:bCs/>
          <w:sz w:val="30"/>
          <w:szCs w:val="32"/>
          <w:lang w:eastAsia="zh-CN"/>
        </w:rPr>
        <w:t>萨尔达坂卫生院</w:t>
      </w:r>
      <w:r>
        <w:rPr>
          <w:rFonts w:hint="eastAsia" w:eastAsia="黑体" w:cs="Times New Roman"/>
          <w:bCs/>
          <w:sz w:val="30"/>
          <w:szCs w:val="32"/>
        </w:rPr>
        <w:t>收入支出决算总体情况说明</w:t>
      </w:r>
    </w:p>
    <w:p>
      <w:pPr>
        <w:pStyle w:val="4"/>
        <w:numPr>
          <w:ilvl w:val="0"/>
          <w:numId w:val="2"/>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lang w:eastAsia="zh-CN"/>
        </w:rPr>
        <w:t>色丁布卫生院</w:t>
      </w:r>
      <w:r>
        <w:rPr>
          <w:rFonts w:hint="eastAsia" w:ascii="仿宋" w:hAnsi="仿宋" w:eastAsia="仿宋"/>
          <w:b/>
          <w:sz w:val="32"/>
          <w:szCs w:val="32"/>
        </w:rPr>
        <w:t>主要职责</w:t>
      </w:r>
    </w:p>
    <w:p>
      <w:pPr>
        <w:pStyle w:val="4"/>
        <w:numPr>
          <w:ilvl w:val="0"/>
          <w:numId w:val="0"/>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我院主要负责所在地区内医疗卫生工作、组织领导群众卫生运动、培训卫生技术人员、并对基层医疗机构进行业务指导和会诊工作、是农村三级医疗网点的重要环节、担负着辖区内的医疗防疫、保健的重要任务、是直接解决农村看病难、看病贵的重要一关、具体工作职责如下：</w:t>
      </w:r>
    </w:p>
    <w:p>
      <w:pPr>
        <w:pStyle w:val="4"/>
        <w:numPr>
          <w:ilvl w:val="0"/>
          <w:numId w:val="0"/>
        </w:numPr>
        <w:spacing w:line="560" w:lineRule="exact"/>
        <w:ind w:leftChars="200"/>
        <w:jc w:val="left"/>
        <w:rPr>
          <w:rFonts w:hint="eastAsia" w:ascii="仿宋" w:hAnsi="仿宋" w:eastAsia="仿宋"/>
          <w:b/>
          <w:sz w:val="32"/>
          <w:szCs w:val="32"/>
          <w:lang w:val="en-US" w:eastAsia="zh-CN"/>
        </w:rPr>
      </w:pPr>
    </w:p>
    <w:p>
      <w:pPr>
        <w:pStyle w:val="4"/>
        <w:numPr>
          <w:ilvl w:val="0"/>
          <w:numId w:val="3"/>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提供基本公共卫生服务、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承担本镇农村居民健康档案规范建档指导管理及服务。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普及卫生保健常识、在重点人群和重点场所开展健康教育、帮助居民形成有利于维护和增进健康的行为方式、指导开展爱国卫生工作。</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提供并组织实施本镇预防接种服务、落实国家免疫规划</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及时发现、登记并报告本镇内发现的传染病病例和疑似病例、参与现场疫情处理。</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开展新生儿访视及儿童保健系统管理、进行体格检查和生长发育检测及评价、开展健康指导。</w:t>
      </w:r>
    </w:p>
    <w:p>
      <w:pPr>
        <w:pStyle w:val="4"/>
        <w:numPr>
          <w:ilvl w:val="0"/>
          <w:numId w:val="4"/>
        </w:numPr>
        <w:spacing w:line="560" w:lineRule="exact"/>
        <w:ind w:left="840" w:leftChars="4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开展孕产妇保健系统管理和产后访视、进行一般体格检查及孕期营养、心理等健康指导。</w:t>
      </w:r>
    </w:p>
    <w:p>
      <w:pPr>
        <w:pStyle w:val="4"/>
        <w:numPr>
          <w:ilvl w:val="0"/>
          <w:numId w:val="4"/>
        </w:numPr>
        <w:spacing w:line="560" w:lineRule="exact"/>
        <w:ind w:left="840" w:leftChars="4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对本镇65岁及以上老年人进行登记管理、进行健康危险因素调查和一般体格检查、开展健康指导。</w:t>
      </w:r>
    </w:p>
    <w:p>
      <w:pPr>
        <w:pStyle w:val="4"/>
        <w:numPr>
          <w:ilvl w:val="0"/>
          <w:numId w:val="4"/>
        </w:numPr>
        <w:spacing w:line="560" w:lineRule="exact"/>
        <w:ind w:left="840" w:leftChars="4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对高血压、糖尿病等慢性病高危人群进行指导、对确诊高血压、糖尿病等慢性病病例进行登记管理、治疗随访和康复指导。</w:t>
      </w:r>
    </w:p>
    <w:p>
      <w:pPr>
        <w:pStyle w:val="4"/>
        <w:numPr>
          <w:ilvl w:val="0"/>
          <w:numId w:val="4"/>
        </w:numPr>
        <w:spacing w:line="560" w:lineRule="exact"/>
        <w:ind w:left="840" w:leftChars="4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对本镇重性精神疾病患者进行登记管理、治疗随访和康复指导。</w:t>
      </w:r>
    </w:p>
    <w:p>
      <w:pPr>
        <w:pStyle w:val="4"/>
        <w:numPr>
          <w:ilvl w:val="0"/>
          <w:numId w:val="4"/>
        </w:numPr>
        <w:spacing w:line="560" w:lineRule="exact"/>
        <w:ind w:left="840" w:leftChars="4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负责本镇内突发公共卫生事件的报告并协助处理</w:t>
      </w:r>
    </w:p>
    <w:p>
      <w:pPr>
        <w:pStyle w:val="4"/>
        <w:numPr>
          <w:ilvl w:val="0"/>
          <w:numId w:val="4"/>
        </w:numPr>
        <w:spacing w:line="560" w:lineRule="exact"/>
        <w:ind w:left="840" w:leftChars="4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做好卫生行政部门规定的其他公共卫生服务。</w:t>
      </w:r>
    </w:p>
    <w:p>
      <w:pPr>
        <w:pStyle w:val="4"/>
        <w:numPr>
          <w:ilvl w:val="0"/>
          <w:numId w:val="3"/>
        </w:numPr>
        <w:spacing w:line="560" w:lineRule="exact"/>
        <w:ind w:left="420" w:leftChars="2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提供基本医疗服务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使用农村适宜医疗技术和中医药技术、正确处理常见病、多发病、对疑难重症进行恰当的处理并转诊。承担乡村现场应急救护、转诊服务和康复服务。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健全消毒、隔离制度、遵守无菌操作规程、加强医疗质量管理、做好医疗废物处理和污水、污物无害化处理。</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执行国家基本药物制度药品集中采购、零差率销售的政策为实施一体化管理的村卫生室统一代购药品。</w:t>
      </w:r>
    </w:p>
    <w:p>
      <w:pPr>
        <w:pStyle w:val="4"/>
        <w:numPr>
          <w:ilvl w:val="0"/>
          <w:numId w:val="0"/>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三、承担公共卫生管理</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对本镇内传染病防治、学校卫生、食品卫生、饮水卫生、职业卫生、以及村级预防保健工作进行指导、培训、考核与监督。</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严格执行农村医保政策规定、履行定点医疗机构职责、做好有关的政策宣传、监督及服务工作。</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深入推进乡村医疗服务一体化管理、对村卫生室实行以行政、人员、业务、药品、财产为基本内容的“五统一”规范管理、负责村卫生室的技术指导和乡村医生培训等工作。</w:t>
      </w:r>
    </w:p>
    <w:p>
      <w:pPr>
        <w:pStyle w:val="4"/>
        <w:numPr>
          <w:ilvl w:val="0"/>
          <w:numId w:val="0"/>
        </w:numPr>
        <w:spacing w:line="560" w:lineRule="exact"/>
        <w:ind w:firstLine="964" w:firstLineChars="3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二：基本情况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 xml:space="preserve">机构情况 </w:t>
      </w:r>
    </w:p>
    <w:p>
      <w:pPr>
        <w:pStyle w:val="4"/>
        <w:numPr>
          <w:ilvl w:val="0"/>
          <w:numId w:val="7"/>
        </w:numPr>
        <w:spacing w:line="560" w:lineRule="exact"/>
        <w:ind w:left="638" w:leftChars="304" w:firstLine="321"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乌鲁木齐县萨尔达坂卫生院位于乌鲁木齐以南55公里、萨尔达坂乡辖区、始建于1982年、占地面积16000平米、办公用房 1300平米、依萨尔达坂卫生院的主要职责内设5个科室、分别为：办公室、公共卫生科职能、老年病防治、传染病防治、妇幼保健、慢性病管理、结核病管理、重症精神病管理、健康教育、计划免疫管理.财务科、化验室、药剂科、辖区内有8所村卫生室。</w:t>
      </w:r>
    </w:p>
    <w:p>
      <w:pPr>
        <w:widowControl w:val="0"/>
        <w:numPr>
          <w:ilvl w:val="0"/>
          <w:numId w:val="0"/>
        </w:numPr>
        <w:snapToGrid w:val="0"/>
        <w:spacing w:line="360" w:lineRule="auto"/>
        <w:jc w:val="both"/>
        <w:rPr>
          <w:rFonts w:hint="eastAsia" w:eastAsia="黑体" w:cs="Times New Roman"/>
          <w:bCs/>
          <w:sz w:val="30"/>
          <w:szCs w:val="32"/>
        </w:rPr>
      </w:pPr>
    </w:p>
    <w:p>
      <w:pPr>
        <w:pStyle w:val="4"/>
        <w:numPr>
          <w:ilvl w:val="0"/>
          <w:numId w:val="7"/>
        </w:numPr>
        <w:spacing w:line="560" w:lineRule="exact"/>
        <w:ind w:left="638" w:leftChars="304" w:firstLine="321"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人员情况: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小渠子卫生院编制数为16人、现有在职职工16人、其中高级职称0人、中级职称3人、初级职称2人、其他9人、工勤人员2人，退休职工4人、聘用人员9人。</w:t>
      </w:r>
    </w:p>
    <w:p>
      <w:pPr>
        <w:numPr>
          <w:ilvl w:val="0"/>
          <w:numId w:val="3"/>
        </w:numPr>
        <w:spacing w:line="600" w:lineRule="exact"/>
        <w:ind w:left="420" w:leftChars="200" w:firstLine="643" w:firstLineChars="200"/>
        <w:jc w:val="left"/>
        <w:rPr>
          <w:rFonts w:hint="eastAsia" w:ascii="仿宋" w:hAnsi="仿宋" w:eastAsia="仿宋"/>
          <w:b/>
          <w:sz w:val="32"/>
          <w:szCs w:val="32"/>
          <w:lang w:val="en-US" w:eastAsia="zh-CN"/>
        </w:rPr>
      </w:pPr>
      <w:r>
        <w:rPr>
          <w:rFonts w:hint="eastAsia" w:ascii="仿宋" w:hAnsi="仿宋" w:eastAsia="仿宋"/>
          <w:b/>
          <w:sz w:val="32"/>
          <w:szCs w:val="32"/>
        </w:rPr>
        <w:t>车辆编制情况</w:t>
      </w:r>
      <w:r>
        <w:rPr>
          <w:rFonts w:hint="eastAsia" w:ascii="仿宋" w:hAnsi="仿宋" w:eastAsia="仿宋"/>
          <w:b/>
          <w:sz w:val="32"/>
          <w:szCs w:val="32"/>
          <w:lang w:eastAsia="zh-CN"/>
        </w:rPr>
        <w:t>：</w:t>
      </w:r>
      <w:r>
        <w:rPr>
          <w:rFonts w:hint="eastAsia" w:ascii="仿宋" w:hAnsi="仿宋" w:eastAsia="仿宋"/>
          <w:b/>
          <w:sz w:val="32"/>
          <w:szCs w:val="32"/>
          <w:lang w:val="en-US" w:eastAsia="zh-CN"/>
        </w:rPr>
        <w:t>2015年3辆救护车。</w:t>
      </w:r>
    </w:p>
    <w:p>
      <w:pPr>
        <w:numPr>
          <w:ilvl w:val="0"/>
          <w:numId w:val="0"/>
        </w:numPr>
        <w:spacing w:line="600" w:lineRule="exact"/>
        <w:ind w:leftChars="400"/>
        <w:jc w:val="left"/>
        <w:rPr>
          <w:rFonts w:hint="eastAsia" w:ascii="仿宋" w:hAnsi="仿宋" w:eastAsia="仿宋"/>
          <w:b/>
          <w:sz w:val="32"/>
          <w:szCs w:val="32"/>
          <w:lang w:val="zh-CN" w:eastAsia="zh-CN"/>
        </w:rPr>
      </w:pP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四</w:t>
      </w:r>
      <w:r>
        <w:rPr>
          <w:rFonts w:hint="eastAsia" w:eastAsia="黑体" w:cs="Times New Roman"/>
          <w:bCs/>
          <w:sz w:val="30"/>
          <w:szCs w:val="32"/>
        </w:rPr>
        <w:t>、</w:t>
      </w:r>
      <w:r>
        <w:rPr>
          <w:rFonts w:hint="eastAsia" w:eastAsia="黑体" w:cs="Times New Roman"/>
          <w:bCs/>
          <w:sz w:val="30"/>
          <w:szCs w:val="32"/>
          <w:lang w:eastAsia="zh-CN"/>
        </w:rPr>
        <w:t>萨尔达坂卫生院</w:t>
      </w:r>
      <w:r>
        <w:rPr>
          <w:rFonts w:hint="eastAsia" w:eastAsia="黑体" w:cs="Times New Roman"/>
          <w:bCs/>
          <w:sz w:val="30"/>
          <w:szCs w:val="32"/>
        </w:rPr>
        <w:t>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1、部门收入情况说明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2015年我院</w:t>
      </w:r>
      <w:r>
        <w:rPr>
          <w:rFonts w:hint="eastAsia" w:eastAsia="黑体" w:cs="Times New Roman"/>
          <w:bCs/>
          <w:sz w:val="30"/>
          <w:szCs w:val="32"/>
          <w:lang w:eastAsia="zh-CN"/>
        </w:rPr>
        <w:t>全年总收入：</w:t>
      </w:r>
      <w:r>
        <w:rPr>
          <w:rFonts w:hint="eastAsia" w:eastAsia="黑体" w:cs="Times New Roman"/>
          <w:bCs/>
          <w:sz w:val="30"/>
          <w:szCs w:val="32"/>
          <w:lang w:val="en-US" w:eastAsia="zh-CN"/>
        </w:rPr>
        <w:t>4383757.35元</w:t>
      </w:r>
    </w:p>
    <w:p>
      <w:p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其中：1、财政补助收入1849474.90元</w:t>
      </w:r>
    </w:p>
    <w:p>
      <w:pPr>
        <w:numPr>
          <w:ilvl w:val="0"/>
          <w:numId w:val="8"/>
        </w:num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事业收入：1033963.97元</w:t>
      </w:r>
    </w:p>
    <w:p>
      <w:pPr>
        <w:numPr>
          <w:ilvl w:val="0"/>
          <w:numId w:val="8"/>
        </w:numPr>
        <w:snapToGrid w:val="0"/>
        <w:spacing w:line="360" w:lineRule="auto"/>
        <w:ind w:left="0" w:leftChars="0" w:firstLine="600" w:firstLineChars="0"/>
        <w:rPr>
          <w:rFonts w:hint="eastAsia" w:eastAsia="黑体" w:cs="Times New Roman"/>
          <w:bCs/>
          <w:sz w:val="30"/>
          <w:szCs w:val="32"/>
          <w:lang w:val="en-US" w:eastAsia="zh-CN"/>
        </w:rPr>
      </w:pPr>
      <w:r>
        <w:rPr>
          <w:rFonts w:hint="eastAsia" w:eastAsia="黑体" w:cs="Times New Roman"/>
          <w:bCs/>
          <w:sz w:val="30"/>
          <w:szCs w:val="32"/>
          <w:lang w:val="en-US" w:eastAsia="zh-CN"/>
        </w:rPr>
        <w:t>其他收入：1462663.78元</w:t>
      </w:r>
    </w:p>
    <w:p>
      <w:pPr>
        <w:numPr>
          <w:ilvl w:val="0"/>
          <w:numId w:val="8"/>
        </w:numPr>
        <w:snapToGrid w:val="0"/>
        <w:spacing w:line="360" w:lineRule="auto"/>
        <w:ind w:left="0" w:leftChars="0" w:firstLine="600" w:firstLineChars="0"/>
        <w:rPr>
          <w:rFonts w:hint="eastAsia" w:eastAsia="黑体" w:cs="Times New Roman"/>
          <w:bCs/>
          <w:sz w:val="30"/>
          <w:szCs w:val="32"/>
          <w:lang w:val="en-US" w:eastAsia="zh-CN"/>
        </w:rPr>
      </w:pPr>
      <w:r>
        <w:rPr>
          <w:rFonts w:hint="eastAsia" w:eastAsia="黑体" w:cs="Times New Roman"/>
          <w:bCs/>
          <w:sz w:val="30"/>
          <w:szCs w:val="32"/>
          <w:lang w:val="en-US" w:eastAsia="zh-CN"/>
        </w:rPr>
        <w:t>上级补助收入；37654.70元</w:t>
      </w: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五、萨尔达坂卫生院支出</w:t>
      </w:r>
      <w:r>
        <w:rPr>
          <w:rFonts w:hint="eastAsia" w:eastAsia="黑体" w:cs="Times New Roman"/>
          <w:bCs/>
          <w:sz w:val="30"/>
          <w:szCs w:val="32"/>
        </w:rPr>
        <w:t>情况说明</w:t>
      </w:r>
    </w:p>
    <w:p>
      <w:pPr>
        <w:snapToGrid w:val="0"/>
        <w:spacing w:line="360" w:lineRule="auto"/>
        <w:ind w:firstLine="900" w:firstLineChars="300"/>
        <w:rPr>
          <w:rFonts w:hint="eastAsia" w:eastAsia="黑体" w:cs="Times New Roman"/>
          <w:bCs/>
          <w:sz w:val="30"/>
          <w:szCs w:val="32"/>
        </w:rPr>
      </w:pPr>
      <w:r>
        <w:rPr>
          <w:rFonts w:hint="eastAsia" w:eastAsia="黑体" w:cs="Times New Roman"/>
          <w:bCs/>
          <w:sz w:val="30"/>
          <w:szCs w:val="32"/>
          <w:lang w:val="en-US" w:eastAsia="zh-CN"/>
        </w:rPr>
        <w:t>部门支出说明</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2015年全年总支出4197628.52元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1：基本支出3226102.52元、其中：工资福利1770600.70元、商品和服务支出1011127.42元、对个人和家庭补助307079.40元、其他资本性支出137295元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2、专项支出971526元、其中：工资福利584556.37元、其他商品和服务支出386969.63元、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eastAsia="zh-CN"/>
        </w:rPr>
        <w:t>六</w:t>
      </w:r>
      <w:r>
        <w:rPr>
          <w:rFonts w:hint="eastAsia" w:eastAsia="黑体" w:cs="Times New Roman"/>
          <w:bCs/>
          <w:sz w:val="30"/>
          <w:szCs w:val="32"/>
        </w:rPr>
        <w:t>、</w:t>
      </w:r>
      <w:r>
        <w:rPr>
          <w:rFonts w:hint="eastAsia" w:eastAsia="黑体" w:cs="Times New Roman"/>
          <w:bCs/>
          <w:sz w:val="30"/>
          <w:szCs w:val="32"/>
          <w:lang w:eastAsia="zh-CN"/>
        </w:rPr>
        <w:t>萨尔达坂卫生院</w:t>
      </w:r>
      <w:r>
        <w:rPr>
          <w:rFonts w:hint="eastAsia" w:eastAsia="黑体" w:cs="Times New Roman"/>
          <w:bCs/>
          <w:sz w:val="30"/>
          <w:szCs w:val="32"/>
        </w:rPr>
        <w:t>结转结余情况说明</w:t>
      </w:r>
      <w:r>
        <w:rPr>
          <w:rFonts w:hint="eastAsia" w:eastAsia="黑体" w:cs="Times New Roman"/>
          <w:bCs/>
          <w:sz w:val="30"/>
          <w:szCs w:val="32"/>
          <w:lang w:val="en-US" w:eastAsia="zh-CN"/>
        </w:rPr>
        <w:t xml:space="preserve"> </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2015年全年基本结余：346128.83元、其中基本结余346128.83元、项目结余0元、基本结余转入到事业基金207677.30职工福利基金138451.13元。</w:t>
      </w:r>
    </w:p>
    <w:p>
      <w:pPr>
        <w:numPr>
          <w:ilvl w:val="0"/>
          <w:numId w:val="0"/>
        </w:numPr>
        <w:snapToGrid w:val="0"/>
        <w:spacing w:line="360" w:lineRule="auto"/>
        <w:rPr>
          <w:rFonts w:hint="eastAsia" w:eastAsia="黑体" w:cs="Times New Roman"/>
          <w:bCs/>
          <w:sz w:val="30"/>
          <w:szCs w:val="32"/>
          <w:lang w:eastAsia="zh-CN"/>
        </w:rPr>
      </w:pPr>
      <w:r>
        <w:rPr>
          <w:rFonts w:hint="eastAsia" w:eastAsia="黑体" w:cs="Times New Roman"/>
          <w:bCs/>
          <w:sz w:val="30"/>
          <w:szCs w:val="32"/>
          <w:lang w:eastAsia="zh-CN"/>
        </w:rPr>
        <w:t>七、部门：“三公经费”会议费、培训费支出情况增减变化说明</w:t>
      </w:r>
    </w:p>
    <w:p>
      <w:pPr>
        <w:numPr>
          <w:ilvl w:val="0"/>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2015年小渠子</w:t>
      </w:r>
      <w:r>
        <w:rPr>
          <w:rFonts w:hint="eastAsia" w:eastAsia="黑体" w:cs="Times New Roman"/>
          <w:bCs/>
          <w:sz w:val="30"/>
          <w:szCs w:val="32"/>
          <w:lang w:eastAsia="zh-CN"/>
        </w:rPr>
        <w:t>卫生院</w:t>
      </w:r>
      <w:r>
        <w:rPr>
          <w:rFonts w:hint="eastAsia" w:eastAsia="黑体" w:cs="Times New Roman"/>
          <w:bCs/>
          <w:sz w:val="30"/>
          <w:szCs w:val="32"/>
        </w:rPr>
        <w:t>“三公”经费</w:t>
      </w:r>
      <w:r>
        <w:rPr>
          <w:rFonts w:hint="eastAsia" w:eastAsia="黑体" w:cs="Times New Roman"/>
          <w:bCs/>
          <w:sz w:val="30"/>
          <w:szCs w:val="32"/>
          <w:lang w:eastAsia="zh-CN"/>
        </w:rPr>
        <w:t>支出情况：因公出国（境）费</w:t>
      </w:r>
      <w:r>
        <w:rPr>
          <w:rFonts w:hint="eastAsia" w:eastAsia="黑体" w:cs="Times New Roman"/>
          <w:bCs/>
          <w:sz w:val="30"/>
          <w:szCs w:val="32"/>
          <w:lang w:val="en-US" w:eastAsia="zh-CN"/>
        </w:rPr>
        <w:t>0元、我单位2015年没有因公出国（境）人数、没有购置公务用车或专用车、公务用车运行维护费38856.80元、公务接待费0元、会议费支出0元、培训费支出：0元、2015年我院“三公经费”总支出38856.80元、2014年公务用车运行维护费49413.40元、同期2015年比2014年减少10556.60元</w:t>
      </w:r>
    </w:p>
    <w:p>
      <w:pPr>
        <w:numPr>
          <w:ilvl w:val="0"/>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同期增减率-27.16</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、增减原因：我单位积极响应财政要求逐年压缩“三公经费”的支出。</w:t>
      </w:r>
    </w:p>
    <w:p>
      <w:pPr>
        <w:snapToGrid w:val="0"/>
        <w:spacing w:line="360" w:lineRule="auto"/>
        <w:rPr>
          <w:rFonts w:hint="eastAsia" w:eastAsia="黑体" w:cs="Times New Roman"/>
          <w:bCs/>
          <w:sz w:val="30"/>
          <w:szCs w:val="32"/>
          <w:lang w:eastAsia="zh-CN"/>
        </w:rPr>
      </w:pPr>
      <w:r>
        <w:rPr>
          <w:rFonts w:hint="eastAsia" w:eastAsia="黑体" w:cs="Times New Roman"/>
          <w:bCs/>
          <w:sz w:val="30"/>
          <w:szCs w:val="32"/>
        </w:rPr>
        <w:t xml:space="preserve"> </w:t>
      </w:r>
      <w:r>
        <w:rPr>
          <w:rFonts w:hint="eastAsia" w:eastAsia="黑体" w:cs="Times New Roman"/>
          <w:bCs/>
          <w:sz w:val="30"/>
          <w:szCs w:val="32"/>
          <w:lang w:val="en-US" w:eastAsia="zh-CN"/>
        </w:rPr>
        <w:t>八</w:t>
      </w:r>
      <w:r>
        <w:rPr>
          <w:rFonts w:hint="eastAsia" w:eastAsia="黑体" w:cs="Times New Roman"/>
          <w:bCs/>
          <w:sz w:val="30"/>
          <w:szCs w:val="32"/>
        </w:rPr>
        <w:t>、</w:t>
      </w:r>
      <w:r>
        <w:rPr>
          <w:rFonts w:hint="eastAsia" w:eastAsia="黑体" w:cs="Times New Roman"/>
          <w:bCs/>
          <w:sz w:val="30"/>
          <w:szCs w:val="32"/>
          <w:lang w:eastAsia="zh-CN"/>
        </w:rPr>
        <w:t>萨尔达坂卫生院</w:t>
      </w:r>
      <w:r>
        <w:rPr>
          <w:rFonts w:hint="eastAsia" w:eastAsia="黑体" w:cs="Times New Roman"/>
          <w:bCs/>
          <w:sz w:val="30"/>
          <w:szCs w:val="32"/>
        </w:rPr>
        <w:t>预算执行情况分析说明</w:t>
      </w:r>
      <w:r>
        <w:rPr>
          <w:rFonts w:hint="eastAsia" w:eastAsia="黑体" w:cs="Times New Roman"/>
          <w:bCs/>
          <w:sz w:val="30"/>
          <w:szCs w:val="32"/>
          <w:lang w:eastAsia="zh-CN"/>
        </w:rPr>
        <w:t>。</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 xml:space="preserve">      2015年我单位预算总收入1509500元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年末决算总支出1847474.90元、全年有效执行率为81.7</w:t>
      </w:r>
      <w:r>
        <w:rPr>
          <w:rFonts w:hint="eastAsia" w:ascii="宋体" w:hAnsi="宋体" w:eastAsia="宋体" w:cs="宋体"/>
          <w:bCs/>
          <w:sz w:val="30"/>
          <w:szCs w:val="32"/>
          <w:lang w:val="en-US" w:eastAsia="zh-CN"/>
        </w:rPr>
        <w:t>％</w:t>
      </w:r>
    </w:p>
    <w:p>
      <w:pPr>
        <w:numPr>
          <w:ilvl w:val="0"/>
          <w:numId w:val="0"/>
        </w:numPr>
        <w:rPr>
          <w:rFonts w:hint="eastAsia" w:eastAsia="黑体" w:cs="Times New Roman"/>
          <w:bCs/>
          <w:sz w:val="30"/>
          <w:szCs w:val="32"/>
        </w:rPr>
      </w:pPr>
      <w:r>
        <w:rPr>
          <w:rFonts w:hint="eastAsia" w:eastAsia="黑体" w:cs="Times New Roman"/>
          <w:bCs/>
          <w:sz w:val="30"/>
          <w:szCs w:val="32"/>
          <w:lang w:eastAsia="zh-CN"/>
        </w:rPr>
        <w:t>九、</w:t>
      </w:r>
      <w:r>
        <w:rPr>
          <w:rFonts w:hint="eastAsia" w:eastAsia="黑体" w:cs="Times New Roman"/>
          <w:bCs/>
          <w:sz w:val="30"/>
          <w:szCs w:val="32"/>
        </w:rPr>
        <w:t>决算收支增减变化情况说明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2015年萨尔达坂卫生院总收入4383757.35元、2014年3946020.21元、同期增加924756.29元、增长率为10</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、增长原因我院2015年人员工资增长，基本公共卫生服务经费增加，医疗设备增长更新、医护人员业务水平及服务水平有所提高、病人逐年增加。                                                                               2015年萨尔达坂卫生院全年总支出4197628.52元。2014年全年总支出3773343.98元。2015年比上年同期支出增长424284.54元，增长率为10.1</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增长原因我院2015年人员工资调整，房屋面积增加，取暖费增加，基本公共卫生服务经费增加村医支付村医养老及基本药物补助支出。</w:t>
      </w:r>
    </w:p>
    <w:p>
      <w:pPr>
        <w:rPr>
          <w:rFonts w:hint="eastAsia" w:eastAsia="黑体" w:cs="Times New Roman"/>
          <w:bCs/>
          <w:sz w:val="30"/>
          <w:szCs w:val="32"/>
        </w:rPr>
      </w:pPr>
      <w:r>
        <w:rPr>
          <w:rFonts w:hint="eastAsia" w:eastAsia="黑体" w:cs="Times New Roman"/>
          <w:bCs/>
          <w:sz w:val="30"/>
          <w:szCs w:val="32"/>
        </w:rPr>
        <w:t xml:space="preserve"> </w:t>
      </w:r>
      <w:r>
        <w:rPr>
          <w:rFonts w:hint="eastAsia" w:eastAsia="黑体" w:cs="Times New Roman"/>
          <w:bCs/>
          <w:sz w:val="30"/>
          <w:szCs w:val="32"/>
          <w:lang w:val="en-US" w:eastAsia="zh-CN"/>
        </w:rPr>
        <w:t>十</w:t>
      </w:r>
      <w:r>
        <w:rPr>
          <w:rFonts w:hint="eastAsia" w:eastAsia="黑体" w:cs="Times New Roman"/>
          <w:bCs/>
          <w:sz w:val="30"/>
          <w:szCs w:val="32"/>
        </w:rPr>
        <w:t>、政府采购执行情况说明</w:t>
      </w:r>
    </w:p>
    <w:p>
      <w:pPr>
        <w:ind w:left="895" w:leftChars="426" w:firstLine="0" w:firstLineChars="0"/>
        <w:rPr>
          <w:rFonts w:hint="eastAsia" w:eastAsia="黑体" w:cs="Times New Roman"/>
          <w:bCs/>
          <w:sz w:val="30"/>
          <w:szCs w:val="32"/>
          <w:lang w:val="en-US" w:eastAsia="zh-CN"/>
        </w:rPr>
      </w:pPr>
      <w:r>
        <w:rPr>
          <w:rFonts w:hint="eastAsia" w:eastAsia="黑体" w:cs="Times New Roman"/>
          <w:bCs/>
          <w:sz w:val="30"/>
          <w:szCs w:val="32"/>
          <w:lang w:val="en-US" w:eastAsia="zh-CN"/>
        </w:rPr>
        <w:t>2015年全年政府采购执行数：0元、甘沟卫生院规模比较小、人员少支出金额比较少、没有执行政府采购。</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十一、机关运行经费支出情况说明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我单位属于事业单位没有机关经费支出。</w:t>
      </w:r>
    </w:p>
    <w:p>
      <w:pPr>
        <w:numPr>
          <w:ilvl w:val="0"/>
          <w:numId w:val="0"/>
        </w:numPr>
        <w:rPr>
          <w:rFonts w:hint="eastAsia" w:eastAsia="黑体" w:cs="Times New Roman"/>
          <w:bCs/>
          <w:sz w:val="30"/>
          <w:szCs w:val="32"/>
        </w:rPr>
      </w:pPr>
      <w:r>
        <w:rPr>
          <w:rFonts w:hint="eastAsia" w:eastAsia="黑体" w:cs="Times New Roman"/>
          <w:bCs/>
          <w:sz w:val="30"/>
          <w:szCs w:val="32"/>
          <w:lang w:eastAsia="zh-CN"/>
        </w:rPr>
        <w:t>十二、</w:t>
      </w:r>
      <w:r>
        <w:rPr>
          <w:rFonts w:hint="eastAsia" w:eastAsia="黑体" w:cs="Times New Roman"/>
          <w:bCs/>
          <w:sz w:val="30"/>
          <w:szCs w:val="32"/>
        </w:rPr>
        <w:t>其他重要事项的情况说明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2015年萨尔达坂卫生院商品和服务支出共计689434.33元、其中办公费43390.00、印刷费26367.00元、手续费0元、水费0元、电费6340.00、邮电费5664.50元、取暖费125110.60元、、差旅费6537元、维修维护费186451.00元、、培训费880.00元、专用材料费818846.70元、被装购置费0元、劳务费、工会经费37675.00元、其他交通费68480元、其他商品和服务支出2000.00元。</w:t>
      </w:r>
    </w:p>
    <w:p>
      <w:pPr>
        <w:numPr>
          <w:ilvl w:val="0"/>
          <w:numId w:val="8"/>
        </w:numPr>
        <w:ind w:left="0" w:leftChars="0" w:firstLine="600" w:firstLineChars="0"/>
        <w:rPr>
          <w:rFonts w:hint="eastAsia" w:eastAsia="黑体" w:cs="Times New Roman"/>
          <w:bCs/>
          <w:sz w:val="30"/>
          <w:szCs w:val="32"/>
          <w:lang w:val="en-US" w:eastAsia="zh-CN"/>
        </w:rPr>
      </w:pPr>
      <w:r>
        <w:rPr>
          <w:rFonts w:hint="eastAsia" w:eastAsia="黑体" w:cs="Times New Roman"/>
          <w:bCs/>
          <w:sz w:val="30"/>
          <w:szCs w:val="32"/>
          <w:lang w:val="en-US" w:eastAsia="zh-CN"/>
        </w:rPr>
        <w:t>部门国有资产占用情况说明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2015年萨尔达坂卫生院国有资产占用情况、固定资产总值：5910994.63元、其中房屋3466172.55元、车辆1301860.08元</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共计车辆3辆、专用救护车3辆、其他固定资产813962</w:t>
      </w:r>
      <w:bookmarkStart w:id="0" w:name="_GoBack"/>
      <w:bookmarkEnd w:id="0"/>
      <w:r>
        <w:rPr>
          <w:rFonts w:hint="eastAsia" w:eastAsia="黑体" w:cs="Times New Roman"/>
          <w:bCs/>
          <w:sz w:val="30"/>
          <w:szCs w:val="32"/>
          <w:lang w:val="en-US" w:eastAsia="zh-CN"/>
        </w:rPr>
        <w:t>.00元。</w:t>
      </w:r>
    </w:p>
    <w:p>
      <w:pPr>
        <w:ind w:firstLine="645"/>
        <w:jc w:val="left"/>
        <w:rPr>
          <w:rFonts w:ascii="仿宋" w:hAnsi="仿宋" w:eastAsia="仿宋"/>
          <w:sz w:val="32"/>
          <w:szCs w:val="32"/>
        </w:rPr>
      </w:pPr>
      <w:r>
        <w:rPr>
          <w:rFonts w:hint="eastAsia" w:ascii="仿宋" w:hAnsi="仿宋" w:eastAsia="仿宋"/>
          <w:b/>
          <w:sz w:val="32"/>
          <w:szCs w:val="32"/>
        </w:rPr>
        <w:t>一般公共预算</w:t>
      </w:r>
      <w:r>
        <w:rPr>
          <w:rFonts w:hint="eastAsia" w:ascii="仿宋" w:hAnsi="仿宋" w:eastAsia="仿宋"/>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ascii="仿宋" w:hAnsi="仿宋" w:eastAsia="仿宋"/>
          <w:sz w:val="32"/>
          <w:szCs w:val="32"/>
        </w:rPr>
      </w:pPr>
      <w:r>
        <w:rPr>
          <w:rFonts w:hint="eastAsia" w:ascii="仿宋" w:hAnsi="仿宋" w:eastAsia="仿宋"/>
          <w:b/>
          <w:sz w:val="32"/>
          <w:szCs w:val="32"/>
        </w:rPr>
        <w:t>部门预算</w:t>
      </w:r>
      <w:r>
        <w:rPr>
          <w:rFonts w:hint="eastAsia" w:ascii="仿宋" w:hAnsi="仿宋" w:eastAsia="仿宋"/>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ascii="仿宋" w:hAnsi="仿宋" w:eastAsia="仿宋"/>
          <w:b/>
          <w:sz w:val="32"/>
          <w:szCs w:val="32"/>
        </w:rPr>
      </w:pPr>
      <w:r>
        <w:rPr>
          <w:rFonts w:hint="eastAsia" w:ascii="仿宋" w:hAnsi="仿宋" w:eastAsia="仿宋"/>
          <w:b/>
          <w:sz w:val="32"/>
          <w:szCs w:val="32"/>
        </w:rPr>
        <w:t>“三公”经费，</w:t>
      </w:r>
      <w:r>
        <w:rPr>
          <w:rFonts w:hint="eastAsia" w:ascii="仿宋" w:hAnsi="仿宋" w:eastAsia="仿宋"/>
          <w:sz w:val="32"/>
          <w:szCs w:val="32"/>
        </w:rPr>
        <w:t>指政府部门人员因公出国（境）经费、公务车购置及运行费、公务招待费产生的消费。</w:t>
      </w:r>
    </w:p>
    <w:p>
      <w:pPr>
        <w:rPr>
          <w:rFonts w:hint="eastAsia" w:eastAsia="宋体"/>
          <w:lang w:val="en-US" w:eastAsia="zh-CN"/>
        </w:rPr>
      </w:pPr>
      <w:r>
        <w:rPr>
          <w:rFonts w:hint="eastAsia"/>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6220A"/>
    <w:multiLevelType w:val="multilevel"/>
    <w:tmpl w:val="1B36220A"/>
    <w:lvl w:ilvl="0" w:tentative="0">
      <w:start w:val="1"/>
      <w:numFmt w:val="japaneseCounting"/>
      <w:lvlText w:val="%1、"/>
      <w:lvlJc w:val="left"/>
      <w:pPr>
        <w:ind w:left="1350" w:hanging="720"/>
      </w:pPr>
      <w:rPr>
        <w:rFonts w:ascii="仿宋" w:hAnsi="仿宋" w:eastAsia="仿宋" w:cs="Times New Roman"/>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5A17E810"/>
    <w:multiLevelType w:val="singleLevel"/>
    <w:tmpl w:val="5A17E810"/>
    <w:lvl w:ilvl="0" w:tentative="0">
      <w:start w:val="2"/>
      <w:numFmt w:val="decimal"/>
      <w:suff w:val="nothing"/>
      <w:lvlText w:val="%1、"/>
      <w:lvlJc w:val="left"/>
    </w:lvl>
  </w:abstractNum>
  <w:abstractNum w:abstractNumId="2">
    <w:nsid w:val="5A1D04EB"/>
    <w:multiLevelType w:val="singleLevel"/>
    <w:tmpl w:val="5A1D04EB"/>
    <w:lvl w:ilvl="0" w:tentative="0">
      <w:start w:val="1"/>
      <w:numFmt w:val="chineseCounting"/>
      <w:suff w:val="nothing"/>
      <w:lvlText w:val="%1、"/>
      <w:lvlJc w:val="left"/>
    </w:lvl>
  </w:abstractNum>
  <w:abstractNum w:abstractNumId="3">
    <w:nsid w:val="5A1D0567"/>
    <w:multiLevelType w:val="singleLevel"/>
    <w:tmpl w:val="5A1D0567"/>
    <w:lvl w:ilvl="0" w:tentative="0">
      <w:start w:val="1"/>
      <w:numFmt w:val="decimal"/>
      <w:suff w:val="nothing"/>
      <w:lvlText w:val="%1、"/>
      <w:lvlJc w:val="left"/>
    </w:lvl>
  </w:abstractNum>
  <w:abstractNum w:abstractNumId="4">
    <w:nsid w:val="5A1D0CBE"/>
    <w:multiLevelType w:val="singleLevel"/>
    <w:tmpl w:val="5A1D0CBE"/>
    <w:lvl w:ilvl="0" w:tentative="0">
      <w:start w:val="1"/>
      <w:numFmt w:val="decimal"/>
      <w:suff w:val="nothing"/>
      <w:lvlText w:val="%1、"/>
      <w:lvlJc w:val="left"/>
    </w:lvl>
  </w:abstractNum>
  <w:abstractNum w:abstractNumId="5">
    <w:nsid w:val="5A1D1129"/>
    <w:multiLevelType w:val="singleLevel"/>
    <w:tmpl w:val="5A1D1129"/>
    <w:lvl w:ilvl="0" w:tentative="0">
      <w:start w:val="1"/>
      <w:numFmt w:val="decimal"/>
      <w:suff w:val="nothing"/>
      <w:lvlText w:val="%1、"/>
      <w:lvlJc w:val="left"/>
    </w:lvl>
  </w:abstractNum>
  <w:abstractNum w:abstractNumId="6">
    <w:nsid w:val="5A1D1520"/>
    <w:multiLevelType w:val="singleLevel"/>
    <w:tmpl w:val="5A1D1520"/>
    <w:lvl w:ilvl="0" w:tentative="0">
      <w:start w:val="1"/>
      <w:numFmt w:val="decimal"/>
      <w:suff w:val="nothing"/>
      <w:lvlText w:val="%1、"/>
      <w:lvlJc w:val="left"/>
    </w:lvl>
  </w:abstractNum>
  <w:abstractNum w:abstractNumId="7">
    <w:nsid w:val="5A1E1F3D"/>
    <w:multiLevelType w:val="singleLevel"/>
    <w:tmpl w:val="5A1E1F3D"/>
    <w:lvl w:ilvl="0" w:tentative="0">
      <w:start w:val="1"/>
      <w:numFmt w:val="chineseCounting"/>
      <w:suff w:val="nothing"/>
      <w:lvlText w:val="%1、"/>
      <w:lvlJc w:val="left"/>
      <w:pPr>
        <w:ind w:left="750" w:leftChars="0" w:firstLine="0" w:firstLineChars="0"/>
      </w:pPr>
    </w:lvl>
  </w:abstractNum>
  <w:num w:numId="1">
    <w:abstractNumId w:val="7"/>
  </w:num>
  <w:num w:numId="2">
    <w:abstractNumId w:val="0"/>
  </w:num>
  <w:num w:numId="3">
    <w:abstractNumId w:val="2"/>
  </w:num>
  <w:num w:numId="4">
    <w:abstractNumId w:val="3"/>
  </w:num>
  <w:num w:numId="5">
    <w:abstractNumId w:val="4"/>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58B"/>
    <w:rsid w:val="000448B4"/>
    <w:rsid w:val="0096758B"/>
    <w:rsid w:val="01D64606"/>
    <w:rsid w:val="08615F02"/>
    <w:rsid w:val="09661D70"/>
    <w:rsid w:val="0A685D34"/>
    <w:rsid w:val="0D953D50"/>
    <w:rsid w:val="0FF6395C"/>
    <w:rsid w:val="13941D71"/>
    <w:rsid w:val="144D443D"/>
    <w:rsid w:val="16ED4FCE"/>
    <w:rsid w:val="1C8133B6"/>
    <w:rsid w:val="240327BE"/>
    <w:rsid w:val="2495030E"/>
    <w:rsid w:val="249B6E55"/>
    <w:rsid w:val="25200015"/>
    <w:rsid w:val="26147B0F"/>
    <w:rsid w:val="2F2F3FEF"/>
    <w:rsid w:val="2F990DAE"/>
    <w:rsid w:val="312241E3"/>
    <w:rsid w:val="319559EB"/>
    <w:rsid w:val="37CC6CB7"/>
    <w:rsid w:val="37D34C7A"/>
    <w:rsid w:val="38D35730"/>
    <w:rsid w:val="3B5D35AF"/>
    <w:rsid w:val="3D083D51"/>
    <w:rsid w:val="41101480"/>
    <w:rsid w:val="46FC18D9"/>
    <w:rsid w:val="483E1B48"/>
    <w:rsid w:val="49C07C97"/>
    <w:rsid w:val="4AEB0BD3"/>
    <w:rsid w:val="4B275955"/>
    <w:rsid w:val="51D70ABA"/>
    <w:rsid w:val="54D92023"/>
    <w:rsid w:val="57207BC9"/>
    <w:rsid w:val="5A742CE9"/>
    <w:rsid w:val="5C1E4605"/>
    <w:rsid w:val="5E001A41"/>
    <w:rsid w:val="5E7B1C98"/>
    <w:rsid w:val="630356B1"/>
    <w:rsid w:val="67936945"/>
    <w:rsid w:val="683D767F"/>
    <w:rsid w:val="689F3AF7"/>
    <w:rsid w:val="6A161707"/>
    <w:rsid w:val="6CBA4DF5"/>
    <w:rsid w:val="6D99296E"/>
    <w:rsid w:val="70D52061"/>
    <w:rsid w:val="76801936"/>
    <w:rsid w:val="779F711C"/>
    <w:rsid w:val="78C8793E"/>
    <w:rsid w:val="7AB64815"/>
    <w:rsid w:val="7E7B35D8"/>
    <w:rsid w:val="7F5F0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117</Words>
  <Characters>668</Characters>
  <Lines>5</Lines>
  <Paragraphs>1</Paragraphs>
  <TotalTime>237</TotalTime>
  <ScaleCrop>false</ScaleCrop>
  <LinksUpToDate>false</LinksUpToDate>
  <CharactersWithSpaces>784</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2017-11-24T08:59:00Z</dcterms:created>
  <dc:creator>Administrator</dc:creator>
  <cp:lastModifiedBy>Administrator</cp:lastModifiedBy>
  <dcterms:modified xsi:type="dcterms:W3CDTF">2018-12-02T09:42:23Z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